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76"/>
        <w:jc w:val="center"/>
        <w:rPr>
          <w:rFonts w:ascii="Verdana" w:hAnsi="Verdana" w:cs="Arial"/>
          <w:b/>
          <w:bCs/>
          <w:color w:val="000000"/>
          <w:sz w:val="20"/>
          <w:u w:val="single"/>
        </w:rPr>
      </w:pPr>
      <w:r>
        <w:rPr>
          <w:rFonts w:cs="Arial" w:ascii="Verdana" w:hAnsi="Verdana"/>
          <w:b/>
          <w:bCs/>
          <w:color w:val="000000"/>
          <w:sz w:val="20"/>
          <w:u w:val="single"/>
        </w:rPr>
        <w:t>ANEXO II</w:t>
      </w:r>
    </w:p>
    <w:p>
      <w:pPr>
        <w:pStyle w:val="Normal"/>
        <w:suppressAutoHyphens w:val="false"/>
        <w:spacing w:lineRule="auto" w:line="276"/>
        <w:jc w:val="center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color w:val="000000"/>
          <w:sz w:val="20"/>
          <w:u w:val="single"/>
        </w:rPr>
        <w:t>TERMO DE REFERÊNCIA – LEI 14.133/21 de 01 de abril de 2021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bCs/>
          <w:iCs/>
          <w:color w:val="000000"/>
          <w:sz w:val="20"/>
        </w:rPr>
        <w:t xml:space="preserve">DISPENSA ELETRÔNICA – AQUISIÇÃO DE TONNER 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iCs/>
          <w:color w:val="000000"/>
          <w:sz w:val="20"/>
        </w:rPr>
        <w:t xml:space="preserve">Processo Administrativo nº </w:t>
      </w:r>
      <w:r>
        <w:rPr>
          <w:rFonts w:ascii="Verdana" w:hAnsi="Verdana"/>
          <w:b/>
          <w:bCs/>
          <w:iCs/>
          <w:color w:val="000000"/>
          <w:sz w:val="20"/>
        </w:rPr>
        <w:t>007495/</w:t>
      </w:r>
      <w:r>
        <w:rPr>
          <w:rFonts w:cs="Arial" w:ascii="Verdana" w:hAnsi="Verdana"/>
          <w:b/>
          <w:bCs/>
          <w:iCs/>
          <w:color w:val="000000"/>
          <w:sz w:val="20"/>
        </w:rPr>
        <w:t>2024 de 17 de outubro de 2024 (Secretaria Municipal de trabalho, Desenvolvimento Econômico, Indústria, Comércio e Turismo)</w:t>
      </w:r>
    </w:p>
    <w:p>
      <w:pPr>
        <w:pStyle w:val="Nivel1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1. DAS CONDIÇÕES GERAIS DA CONTRATAÇÃO 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Cs/>
          <w:sz w:val="20"/>
          <w:szCs w:val="20"/>
        </w:rPr>
        <w:t xml:space="preserve">1.1. </w:t>
      </w:r>
      <w:r>
        <w:rPr>
          <w:rFonts w:cs="Arial" w:ascii="Verdana" w:hAnsi="Verdana"/>
          <w:iCs/>
          <w:sz w:val="20"/>
          <w:szCs w:val="20"/>
        </w:rPr>
        <w:t xml:space="preserve">Aquisição </w:t>
      </w:r>
      <w:r>
        <w:rPr>
          <w:rFonts w:eastAsia="Times New Roman" w:cs="Times New Roman" w:ascii="Verdana" w:hAnsi="Verdana"/>
          <w:iCs/>
          <w:sz w:val="20"/>
          <w:szCs w:val="20"/>
        </w:rPr>
        <w:t xml:space="preserve">de tonner </w:t>
      </w:r>
      <w:r>
        <w:rPr>
          <w:rFonts w:eastAsia="Arial" w:cs="Arial" w:ascii="Verdana" w:hAnsi="Verdana"/>
          <w:iCs/>
          <w:color w:val="000000"/>
          <w:sz w:val="20"/>
          <w:szCs w:val="20"/>
        </w:rPr>
        <w:t xml:space="preserve">compatível com impressora HP Laser Jet 1606dn </w:t>
      </w:r>
      <w:r>
        <w:rPr>
          <w:rFonts w:eastAsia="Times New Roman" w:cs="Times New Roman" w:ascii="Verdana" w:hAnsi="Verdana"/>
          <w:iCs/>
          <w:sz w:val="20"/>
          <w:szCs w:val="20"/>
        </w:rPr>
        <w:t xml:space="preserve">para atender as necessidades da </w:t>
      </w:r>
      <w:r>
        <w:rPr>
          <w:rFonts w:eastAsia="Times New Roman" w:cs="Arial" w:ascii="Verdana" w:hAnsi="Verdana"/>
          <w:iCs/>
          <w:color w:val="000000"/>
          <w:sz w:val="20"/>
          <w:szCs w:val="20"/>
        </w:rPr>
        <w:t>Secretaria Municipal de trabalho, Desenvolvimento Econômico, Indústria, Comércio e Turismo</w:t>
      </w: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iCs/>
          <w:sz w:val="20"/>
          <w:szCs w:val="20"/>
        </w:rPr>
        <w:t>de acordo com os critérios e condições estabelecidas neste Termo de Referência, ETP e seus Anexos.</w:t>
      </w:r>
    </w:p>
    <w:tbl>
      <w:tblPr>
        <w:tblW w:w="9687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742"/>
        <w:gridCol w:w="3398"/>
        <w:gridCol w:w="1140"/>
        <w:gridCol w:w="1188"/>
        <w:gridCol w:w="1527"/>
        <w:gridCol w:w="1691"/>
      </w:tblGrid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Und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b/>
                <w:sz w:val="20"/>
              </w:rPr>
              <w:t>Quant.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>
        <w:trPr>
          <w:trHeight w:val="688" w:hRule="atLeast"/>
        </w:trPr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</w:rPr>
              <w:t>01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sz w:val="20"/>
                <w:lang w:eastAsia="zh-CN"/>
              </w:rPr>
              <w:t>Tonner compatível com impressora hj p 1606 dn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Und</w:t>
            </w: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right"/>
              <w:rPr/>
            </w:pPr>
            <w:r>
              <w:rPr>
                <w:rFonts w:ascii="Verdana" w:hAnsi="Verdana"/>
                <w:sz w:val="20"/>
              </w:rPr>
              <w:t>R$ 81,46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/>
              <w:jc w:val="right"/>
              <w:rPr/>
            </w:pPr>
            <w:r>
              <w:rPr>
                <w:rFonts w:ascii="Verdana" w:hAnsi="Verdana"/>
                <w:sz w:val="20"/>
              </w:rPr>
              <w:t>R$ 814,60</w:t>
            </w:r>
          </w:p>
        </w:tc>
      </w:tr>
      <w:tr>
        <w:trPr/>
        <w:tc>
          <w:tcPr>
            <w:tcW w:w="96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lineRule="auto" w:line="27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R$ 814,60 (oitocentos e quatorze reais e sessenta centavos)</w:t>
            </w:r>
            <w:bookmarkStart w:id="0" w:name="_Hlk182381230"/>
            <w:bookmarkEnd w:id="0"/>
          </w:p>
        </w:tc>
      </w:tr>
    </w:tbl>
    <w:p>
      <w:pPr>
        <w:pStyle w:val="ListParagraph"/>
        <w:widowControl w:val="false"/>
        <w:suppressAutoHyphens w:val="false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ListParagraph"/>
        <w:widowControl w:val="false"/>
        <w:suppressAutoHyphens w:val="false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>
      <w:pPr>
        <w:pStyle w:val="ListParagraph"/>
        <w:suppressAutoHyphens w:val="false"/>
        <w:ind w:left="-2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1.3. O prazo de vigência da contratação será de 30 (trinta) dias, com entrega única em até 05 (cinco) dias após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 xml:space="preserve"> emissão de autorização de fornecimento/execução.</w:t>
      </w:r>
    </w:p>
    <w:p>
      <w:pPr>
        <w:pStyle w:val="ListParagraph"/>
        <w:suppressAutoHyphens w:val="false"/>
        <w:ind w:left="-22"/>
        <w:jc w:val="both"/>
        <w:rPr>
          <w:rFonts w:ascii="Verdana" w:hAnsi="Verdana"/>
          <w:sz w:val="20"/>
          <w:szCs w:val="20"/>
        </w:rPr>
      </w:pPr>
      <w:r>
        <w:rPr>
          <w:rFonts w:eastAsia="SimSun" w:cs="Arial" w:ascii="Verdana" w:hAnsi="Verdana"/>
          <w:sz w:val="20"/>
          <w:szCs w:val="20"/>
        </w:rPr>
        <w:t>1.6. O custo estimado total da contratação é de</w:t>
      </w:r>
      <w:r>
        <w:rPr>
          <w:rFonts w:eastAsia="Times New Roman" w:cs="Times New Roman" w:ascii="Verdana" w:hAnsi="Verdana"/>
          <w:color w:val="000000"/>
          <w:sz w:val="20"/>
          <w:szCs w:val="20"/>
          <w:lang w:eastAsia="en-US"/>
        </w:rPr>
        <w:t xml:space="preserve"> R$ 814,60 (oitocentos e quatorze reais e sessenta centavos) </w:t>
      </w:r>
      <w:r>
        <w:rPr>
          <w:rFonts w:eastAsia="SimSun" w:cs="Arial" w:ascii="Verdana" w:hAnsi="Verdana"/>
          <w:sz w:val="20"/>
          <w:szCs w:val="20"/>
        </w:rPr>
        <w:t>conforme custos unitários apostos nos orçamentos e no quadro comparativo de preços simples em anexo.</w:t>
      </w:r>
    </w:p>
    <w:p>
      <w:pPr>
        <w:pStyle w:val="Normal"/>
        <w:spacing w:lineRule="auto" w:line="276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2. FUNDAMENTAÇÃO E DESCRIÇÃO DA NECESSIDADE DA CONTRATAÇÃO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eastAsia="Arial" w:cs="Arial" w:ascii="Verdana" w:hAnsi="Verdana"/>
          <w:sz w:val="20"/>
        </w:rPr>
        <w:t>2.1. Considerando a necessidade de impressão de documentos no cotidiano da secretaria para execução dos serviços administrativos.</w:t>
      </w:r>
    </w:p>
    <w:p>
      <w:pPr>
        <w:pStyle w:val="ListParagraph"/>
        <w:spacing w:before="0" w:after="0"/>
        <w:ind w:left="0"/>
        <w:contextualSpacing/>
        <w:jc w:val="both"/>
        <w:rPr>
          <w:rFonts w:ascii="Verdana" w:hAnsi="Verdana" w:cs="Arial"/>
          <w:b/>
          <w:iCs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</w:r>
    </w:p>
    <w:p>
      <w:pPr>
        <w:pStyle w:val="ListParagraph"/>
        <w:spacing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3.1 A solução a ser adotada consiste na </w:t>
      </w:r>
      <w:r>
        <w:rPr>
          <w:rFonts w:cs="Arial" w:ascii="Verdana" w:hAnsi="Verdana"/>
          <w:color w:val="000000"/>
          <w:sz w:val="20"/>
        </w:rPr>
        <w:t>aquisição de tonner para atender as necessidades administrativas da secretaria</w:t>
      </w:r>
      <w:r>
        <w:rPr>
          <w:rFonts w:cs="Arial" w:ascii="Verdana" w:hAnsi="Verdana"/>
          <w:sz w:val="20"/>
        </w:rPr>
        <w:t>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3.2 A solução para a contratação da prestação de serviços deverá obedecer, no que couber, ao disposto na Lei n.º 14.133/2021 e suas alterações.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sz w:val="20"/>
        </w:rPr>
        <w:tab/>
        <w:t>3.3. Definição e justificativa de caracterização do objeto e prazos da contratação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3. A</w:t>
      </w:r>
      <w:r>
        <w:rPr>
          <w:rFonts w:cs="Arial" w:ascii="Verdana" w:hAnsi="Verdana"/>
          <w:color w:val="000000"/>
          <w:sz w:val="20"/>
        </w:rPr>
        <w:t xml:space="preserve"> finalidade é a contratação de empresa para o fornecimento de tonner a ser utilizado na substituição mensal, de forma que não prejudique o bom andamento dos serviços administrativo da Secretaria Municipal do Trabalho, Desenvolvimento Econômico, Indústria, Comércio e Turismo.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3.3.2</w:t>
      </w:r>
      <w:r>
        <w:rPr>
          <w:rFonts w:cs="Arial" w:ascii="Verdana" w:hAnsi="Verdana"/>
          <w:b/>
          <w:bCs/>
          <w:color w:val="000000"/>
          <w:sz w:val="20"/>
        </w:rPr>
        <w:t xml:space="preserve"> </w:t>
      </w:r>
      <w:r>
        <w:rPr>
          <w:rFonts w:cs="Arial" w:ascii="Verdana" w:hAnsi="Verdana"/>
          <w:color w:val="000000"/>
          <w:sz w:val="20"/>
        </w:rPr>
        <w:t xml:space="preserve">A referida contratação será por meio de compra direta, conforme previsto no Art. 17, § 2º, da Lei Federal nº 14.133/2021, tendo em vista a necessidade de se buscar propostas mais vantajosas para a administração e que estejam de acordo com o valor praticado no mercado e que sejam exequíveis e entregues em tempo hábil. 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 w:eastAsia="Arial" w:cs="Arial"/>
          <w:b/>
          <w:sz w:val="20"/>
        </w:rPr>
      </w:pPr>
      <w:r>
        <w:rPr>
          <w:rFonts w:eastAsia="Arial" w:cs="Arial" w:ascii="Verdana" w:hAnsi="Verdana"/>
          <w:b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4. REQUISITOS DA CONTRATAÇÃO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eastAsia="Arial" w:cs="Arial" w:ascii="Verdana" w:hAnsi="Verdana"/>
          <w:sz w:val="20"/>
        </w:rPr>
        <w:t>4.1 Os requisitos da contratação devem contemplar as exigências que a solução contratada deverá atender, incluindo os requisitos mínimos de qualidade e capacidade técnica, de modo a possibilitar a seleção da proposta mais vantajosa mediante competição.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eastAsia="Arial" w:cs="Arial" w:ascii="Verdana" w:hAnsi="Verdana"/>
          <w:sz w:val="20"/>
        </w:rPr>
        <w:t>4.2</w:t>
      </w:r>
      <w:r>
        <w:rPr>
          <w:rFonts w:eastAsia="Arial" w:cs="Arial" w:ascii="Verdana" w:hAnsi="Verdana"/>
          <w:b/>
          <w:bCs/>
          <w:sz w:val="20"/>
        </w:rPr>
        <w:t xml:space="preserve"> </w:t>
      </w:r>
      <w:r>
        <w:rPr>
          <w:rFonts w:eastAsia="Arial" w:cs="Arial" w:ascii="Verdana" w:hAnsi="Verdana"/>
          <w:sz w:val="20"/>
        </w:rPr>
        <w:t xml:space="preserve">É requisito desta </w:t>
      </w:r>
      <w:r>
        <w:rPr>
          <w:rFonts w:eastAsia="Arial" w:cs="Arial" w:ascii="Verdana" w:hAnsi="Verdana"/>
          <w:color w:val="000000"/>
          <w:sz w:val="20"/>
        </w:rPr>
        <w:t>Contratação, a busca por empresa especializada no fornecimento de tonner. A empresa vencedora deverá entregar os itens que se pretendem contratar, conforme a planilha e descrição presentes no item 8.1, deste ETP.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 w:eastAsia="Arial" w:cs="Arial"/>
          <w:sz w:val="20"/>
        </w:rPr>
      </w:pPr>
      <w:r>
        <w:rPr>
          <w:rFonts w:eastAsia="Arial" w:cs="Arial"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5. MODELO DE EXECUÇÃO CONTRATUAL</w:t>
      </w:r>
    </w:p>
    <w:p>
      <w:pPr>
        <w:pStyle w:val="ListParagraph"/>
        <w:tabs>
          <w:tab w:val="clear" w:pos="708"/>
          <w:tab w:val="left" w:pos="0" w:leader="none"/>
          <w:tab w:val="left" w:pos="450" w:leader="none"/>
        </w:tabs>
        <w:spacing w:before="0" w:after="0"/>
        <w:ind w:firstLine="57" w:left="-5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iCs/>
          <w:sz w:val="20"/>
          <w:szCs w:val="20"/>
        </w:rPr>
        <w:t>5.1.</w:t>
      </w:r>
      <w:r>
        <w:rPr>
          <w:rFonts w:cs="Times New Roman" w:ascii="Verdana" w:hAnsi="Verdana"/>
          <w:bCs/>
          <w:iCs/>
          <w:sz w:val="20"/>
          <w:szCs w:val="20"/>
        </w:rPr>
        <w:t xml:space="preserve"> O prazo </w:t>
      </w:r>
      <w:r>
        <w:rPr>
          <w:rFonts w:eastAsia="Times New Roman" w:cs="Times New Roman" w:ascii="Verdana" w:hAnsi="Verdana"/>
          <w:bCs/>
          <w:iCs/>
          <w:sz w:val="20"/>
          <w:szCs w:val="20"/>
        </w:rPr>
        <w:t xml:space="preserve">de execução da aquisição será de 05 (cinco) dias, 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</w:rPr>
        <w:t>com entrega única da emissão de autorização de fornecimento/execução.</w:t>
      </w:r>
      <w:r>
        <w:rPr>
          <w:rFonts w:ascii="Verdana" w:hAnsi="Verdana"/>
          <w:sz w:val="20"/>
          <w:szCs w:val="20"/>
        </w:rPr>
        <w:t xml:space="preserve">5.2. </w:t>
      </w:r>
      <w:r>
        <w:rPr>
          <w:rFonts w:cs="Arial" w:ascii="Verdana" w:hAnsi="Verdana"/>
          <w:sz w:val="20"/>
          <w:szCs w:val="20"/>
        </w:rPr>
        <w:t>Os tonner serão entregues no Almoxarifado Central da Prefeitura Municipal de São Gabriel da Palha.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5.2.</w:t>
      </w:r>
      <w:r>
        <w:rPr>
          <w:rFonts w:cs="Arial" w:ascii="Verdana" w:hAnsi="Verdana"/>
          <w:b/>
          <w:sz w:val="20"/>
        </w:rPr>
        <w:t xml:space="preserve"> Contato: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Tel: (27) 3727-1366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Tel: (27) 99845-2014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Email:</w:t>
      </w:r>
      <w:r>
        <w:rPr>
          <w:rFonts w:cs="Arial" w:ascii="Verdana" w:hAnsi="Verdana"/>
          <w:b/>
          <w:sz w:val="20"/>
        </w:rPr>
        <w:t xml:space="preserve"> </w:t>
      </w:r>
      <w:r>
        <w:rPr>
          <w:rFonts w:cs="Arial" w:ascii="Verdana" w:hAnsi="Verdana"/>
          <w:sz w:val="20"/>
        </w:rPr>
        <w:t>sincotur@saogabriel.es.gov.br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Responsável:</w:t>
      </w:r>
      <w:r>
        <w:rPr>
          <w:rFonts w:cs="Arial" w:ascii="Verdana" w:hAnsi="Verdana"/>
          <w:b/>
          <w:sz w:val="20"/>
        </w:rPr>
        <w:t xml:space="preserve"> </w:t>
      </w:r>
      <w:r>
        <w:rPr>
          <w:rFonts w:cs="Arial" w:ascii="Verdana" w:hAnsi="Verdana"/>
          <w:sz w:val="20"/>
        </w:rPr>
        <w:t xml:space="preserve">Willian Moronari </w:t>
      </w:r>
      <w:r>
        <w:rPr>
          <w:rFonts w:cs="Arial" w:ascii="Verdana" w:hAnsi="Verdana"/>
          <w:b/>
          <w:sz w:val="20"/>
        </w:rPr>
        <w:t xml:space="preserve">- </w:t>
      </w:r>
      <w:r>
        <w:rPr>
          <w:rFonts w:cs="Arial" w:ascii="Verdana" w:hAnsi="Verdana"/>
          <w:sz w:val="20"/>
        </w:rPr>
        <w:t>Secretário Municipal do Trabalho, Desenvolvimento Econômico, Indústria, Comércio e Turismo (Sincotur)</w:t>
      </w:r>
    </w:p>
    <w:p>
      <w:pPr>
        <w:pStyle w:val="Nivel2"/>
        <w:spacing w:before="0" w:after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iCs/>
          <w:color w:val="auto"/>
          <w:sz w:val="20"/>
          <w:szCs w:val="20"/>
        </w:rPr>
        <w:t>5.3</w:t>
      </w:r>
      <w:r>
        <w:rPr>
          <w:rFonts w:cs="Times New Roman" w:ascii="Verdana" w:hAnsi="Verdana"/>
          <w:b/>
          <w:bCs/>
          <w:iCs/>
          <w:color w:val="auto"/>
          <w:sz w:val="20"/>
          <w:szCs w:val="20"/>
        </w:rPr>
        <w:t xml:space="preserve">. 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(duas) horas de antecedência para que qualquer pleito de prorrogação de prazo seja analisado, ressalvadas situações de caso fortuito e </w:t>
      </w:r>
      <w:r>
        <w:rPr>
          <w:rFonts w:cs="Times New Roman" w:ascii="Verdana" w:hAnsi="Verdana"/>
          <w:iCs/>
          <w:color w:val="auto"/>
          <w:sz w:val="20"/>
          <w:szCs w:val="20"/>
        </w:rPr>
        <w:t>força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 maior.</w:t>
      </w:r>
    </w:p>
    <w:p>
      <w:pPr>
        <w:pStyle w:val="Nivel2"/>
        <w:spacing w:before="0" w:after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color w:val="auto"/>
          <w:sz w:val="20"/>
          <w:szCs w:val="20"/>
        </w:rPr>
        <w:t xml:space="preserve">5.4. 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A aquisição será recebida pelo(a) responsável </w:t>
      </w:r>
      <w:r>
        <w:rPr>
          <w:rFonts w:eastAsia="Calibri" w:cs="Times New Roman" w:ascii="Verdana" w:hAnsi="Verdana"/>
          <w:bCs/>
          <w:color w:val="auto"/>
          <w:sz w:val="20"/>
          <w:szCs w:val="20"/>
        </w:rPr>
        <w:t>da secretaria requisitante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para acompanhamento e fiscalização e posterior verificação de sua conformidade com as especificações constantes neste Termo de Referência e na proposta.</w:t>
      </w:r>
    </w:p>
    <w:p>
      <w:pPr>
        <w:pStyle w:val="ListParagraph"/>
        <w:spacing w:before="0" w:after="86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5.5. A conferência </w:t>
      </w:r>
      <w:r>
        <w:rPr>
          <w:rFonts w:eastAsia="Times New Roman" w:cs="Times New Roman" w:ascii="Verdana" w:hAnsi="Verdana"/>
          <w:sz w:val="20"/>
          <w:szCs w:val="20"/>
        </w:rPr>
        <w:t>da aquisição</w:t>
      </w:r>
      <w:r>
        <w:rPr>
          <w:rFonts w:ascii="Verdana" w:hAnsi="Verdana"/>
          <w:sz w:val="20"/>
          <w:szCs w:val="20"/>
        </w:rPr>
        <w:t xml:space="preserve"> deverá ser acompanhada por um servidor </w:t>
      </w:r>
      <w:r>
        <w:rPr>
          <w:rFonts w:eastAsia="Times New Roman" w:cs="Times New Roman" w:ascii="Verdana" w:hAnsi="Verdana"/>
          <w:sz w:val="20"/>
          <w:szCs w:val="20"/>
        </w:rPr>
        <w:t>da secretaria requisitante</w:t>
      </w:r>
      <w:r>
        <w:rPr>
          <w:rFonts w:ascii="Verdana" w:hAnsi="Verdana"/>
          <w:sz w:val="20"/>
          <w:szCs w:val="20"/>
        </w:rPr>
        <w:t>, a fim de zelar pela qualidade e quantidade dos itens a serem adquiridos.</w:t>
      </w:r>
    </w:p>
    <w:p>
      <w:pPr>
        <w:pStyle w:val="Nivel2"/>
        <w:spacing w:before="0" w:after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color w:val="auto"/>
          <w:sz w:val="20"/>
          <w:szCs w:val="20"/>
        </w:rPr>
        <w:t>5.6.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A aquisição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>
      <w:pPr>
        <w:pStyle w:val="ListParagraph"/>
        <w:spacing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5.7.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>
        <w:rPr>
          <w:rFonts w:eastAsia="Times New Roman" w:cs="Times New Roman" w:ascii="Verdana" w:hAnsi="Verdana"/>
          <w:sz w:val="20"/>
          <w:szCs w:val="20"/>
        </w:rPr>
        <w:t>da contratada pelos prejuízos resultantes da incorreta execução do contrato.</w:t>
      </w:r>
    </w:p>
    <w:p>
      <w:pPr>
        <w:pStyle w:val="Nivel2"/>
        <w:spacing w:before="0" w:after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6.</w:t>
      </w:r>
      <w:r>
        <w:rPr>
          <w:rFonts w:cs="Arial" w:ascii="Verdana" w:hAnsi="Verdana"/>
          <w:b/>
          <w:bCs/>
          <w:sz w:val="20"/>
        </w:rPr>
        <w:t xml:space="preserve"> JUSTIFICATIVA DA CONTRATAÇÃO</w:t>
      </w:r>
    </w:p>
    <w:p>
      <w:pPr>
        <w:pStyle w:val="Normal"/>
        <w:widowControl w:val="false"/>
        <w:spacing w:lineRule="auto" w:line="276" w:before="0" w:after="0"/>
        <w:contextualSpacing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>6.1. Identificação da demanda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6.1.1. O presente documento manifesta a necessidade de contratação para fornecimento de tonner para atender as demandas administrativas da </w:t>
      </w:r>
      <w:r>
        <w:rPr>
          <w:rFonts w:ascii="Verdana" w:hAnsi="Verdana"/>
          <w:color w:val="000000"/>
          <w:sz w:val="20"/>
        </w:rPr>
        <w:t>Secretaria Municipal do Trabalho, Desenvolvimento Econômico, Indústria, Comércio e Turismo.</w:t>
      </w:r>
    </w:p>
    <w:p>
      <w:pPr>
        <w:pStyle w:val="Normal"/>
        <w:spacing w:lineRule="auto" w:line="276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</w:r>
    </w:p>
    <w:p>
      <w:pPr>
        <w:pStyle w:val="ListParagraph"/>
        <w:spacing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  <w:t xml:space="preserve">6.2. </w:t>
      </w:r>
      <w:r>
        <w:rPr>
          <w:rFonts w:ascii="Verdana" w:hAnsi="Verdana"/>
          <w:b/>
          <w:sz w:val="20"/>
          <w:szCs w:val="20"/>
        </w:rPr>
        <w:t>Justificativa da necessidade da aquisição</w:t>
      </w:r>
    </w:p>
    <w:p>
      <w:pPr>
        <w:pStyle w:val="ListParagraph"/>
        <w:spacing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sz w:val="20"/>
          <w:szCs w:val="20"/>
        </w:rPr>
        <w:t xml:space="preserve">6.2.1 </w:t>
      </w:r>
      <w:r>
        <w:rPr>
          <w:rFonts w:eastAsia="Arial" w:cs="Arial" w:ascii="Verdana" w:hAnsi="Verdana"/>
          <w:color w:val="000000"/>
          <w:sz w:val="20"/>
          <w:szCs w:val="20"/>
        </w:rPr>
        <w:t>Posto isso, considerando a demanda acima elencada, tendo em vista que por serem materiais com vida útil curta e que precisam ser trocados mensalmente.</w:t>
      </w:r>
    </w:p>
    <w:p>
      <w:pPr>
        <w:pStyle w:val="Normal"/>
        <w:overflowPunct w:val="true"/>
        <w:spacing w:lineRule="auto" w:line="276" w:before="0" w:after="160"/>
        <w:contextualSpacing/>
        <w:jc w:val="both"/>
        <w:rPr>
          <w:rFonts w:ascii="Verdana" w:hAnsi="Verdana"/>
          <w:sz w:val="20"/>
        </w:rPr>
      </w:pPr>
      <w:r>
        <w:rPr>
          <w:rFonts w:eastAsia="Arial" w:ascii="Verdana" w:hAnsi="Verdana"/>
          <w:sz w:val="20"/>
        </w:rPr>
        <w:t xml:space="preserve">6.2.3 </w:t>
      </w:r>
      <w:r>
        <w:rPr>
          <w:rFonts w:ascii="Verdana" w:hAnsi="Verdana"/>
          <w:sz w:val="20"/>
        </w:rPr>
        <w:t>A opção pela contratação do serviço descrito acima, relaciona-se com a extrema necessidade, uma que vez que é indispensável a utilização de impressora para impressão de documentos no cotidiano da secretaria.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6.2.4 Tal contratação resultar-se-á benéfica e vantajosa, tendo em vista a oferta de preço e por ser na modalidade compra direta.</w:t>
      </w:r>
    </w:p>
    <w:p>
      <w:pPr>
        <w:pStyle w:val="Normal"/>
        <w:tabs>
          <w:tab w:val="clear" w:pos="708"/>
          <w:tab w:val="left" w:pos="142" w:leader="none"/>
        </w:tabs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sz w:val="20"/>
        </w:rPr>
        <w:t>7. OBRIGAÇÕES DO CONTRATANTE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7.1. Cumprir todos os compromissos financeiros assumidos com a CONTRATADA.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7.8. Fiscalizar o cumprimento das obrigações assumidas pela CONTRATADA.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defeito, dentro do prazo da garantia estipulada.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  <w:lang w:eastAsia="en-US"/>
        </w:rPr>
        <w:t>7.10. O CONTRATANTE não responderá por quaisquer compromissos assumidos pela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  <w:lang w:eastAsia="en-US"/>
        </w:rPr>
        <w:t>CONTRATADA com terceiros, ainda que vinculados à execução do presente objeto, bem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color w:val="000000"/>
          <w:sz w:val="20"/>
        </w:rPr>
        <w:t>8. OBRIGAÇÕES DA CONTRATADA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Brasileira de Correios e Telégrafos, a sua execução.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Referência.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sz w:val="20"/>
        </w:rPr>
        <w:t>9. RESULTADOS PRETENDIDOS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9.1 </w:t>
      </w:r>
      <w:r>
        <w:rPr>
          <w:rFonts w:cs="Arial" w:ascii="Verdana" w:hAnsi="Verdana"/>
          <w:color w:val="000000"/>
          <w:sz w:val="20"/>
        </w:rPr>
        <w:t>Os resultados pretendidos com a aquisição dos equipamentos para dar condições de trabalho e andamento dos serviços administrativos da secretaria.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sz w:val="20"/>
        </w:rPr>
        <w:t>10. REGULARIDADE FISCAL E TRABALHISTA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10.1. Cópia de inscrição no Cadastro de Pessoas Jurídicas – CNPJ.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10.3.Prova de regularidade com a Fazenda Estadual, que poderá ser solicitada no site </w:t>
      </w:r>
      <w:hyperlink r:id="rId2">
        <w:r>
          <w:rPr>
            <w:rStyle w:val="ListLabel1"/>
            <w:rFonts w:cs="Arial" w:ascii="Verdana" w:hAnsi="Verdana"/>
            <w:color w:val="000000"/>
            <w:sz w:val="20"/>
          </w:rPr>
          <w:t>https://internet.sefaz.es.gov.br</w:t>
        </w:r>
      </w:hyperlink>
      <w:r>
        <w:rPr>
          <w:rFonts w:cs="Arial" w:ascii="Verdana" w:hAnsi="Verdana"/>
          <w:color w:val="000000"/>
          <w:sz w:val="20"/>
        </w:rPr>
        <w:t>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10.4.  Prova de regularidade com a Fazenda Pública Municipal referente ao domicílio do interessado.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3">
        <w:r>
          <w:rPr>
            <w:rStyle w:val="ListLabel2"/>
            <w:rFonts w:cs="Arial" w:ascii="Verdana" w:hAnsi="Verdana"/>
            <w:color w:val="000080"/>
            <w:sz w:val="20"/>
            <w:u w:val="single"/>
          </w:rPr>
          <w:t>http://www.tst.jus.br</w:t>
        </w:r>
      </w:hyperlink>
      <w:r>
        <w:rPr>
          <w:rFonts w:cs="Arial" w:ascii="Verdana" w:hAnsi="Verdana"/>
          <w:sz w:val="20"/>
        </w:rPr>
        <w:t>.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sz w:val="20"/>
        </w:rPr>
        <w:t>11. DAS SANÇÕES ADMINISTRATIVAS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.1.1. Dar causa à inexecução parcial do contrato.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.1.3. Dar causa à inexecução total;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.1.4. Deixar de entregar a documentação exigida para o certame.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 Comportar-se de modo inidôneo ou cometer fraude de qualquer natureza.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.1.11. Praticar atos ilícitos com vistas a frustrar os objetivos deste certame.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11.1.13.</w:t>
      </w:r>
      <w:r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</w:t>
      </w:r>
      <w:r>
        <w:rPr>
          <w:rFonts w:ascii="Verdana" w:hAnsi="Verdana"/>
          <w:iCs/>
          <w:sz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76"/>
        <w:ind w:left="-57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   </w:t>
      </w:r>
      <w:r>
        <w:rPr>
          <w:rFonts w:ascii="Verdana" w:hAnsi="Verdana"/>
          <w:iCs/>
          <w:sz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76"/>
        <w:ind w:left="-57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           </w:t>
      </w:r>
      <w:r>
        <w:rPr>
          <w:rFonts w:ascii="Verdana" w:hAnsi="Verdana"/>
          <w:iCs/>
          <w:sz w:val="20"/>
        </w:rPr>
        <w:t>b.1) O valor da multa poderá ser descontado das faturas devidas à CONTRATADA;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            </w:t>
      </w:r>
      <w:r>
        <w:rPr>
          <w:rFonts w:ascii="Verdana" w:hAnsi="Verdana"/>
          <w:iCs/>
          <w:sz w:val="20"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</w:t>
      </w:r>
      <w:r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</w:t>
      </w:r>
      <w:r>
        <w:rPr>
          <w:rFonts w:ascii="Verdana" w:hAnsi="Verdana"/>
          <w:iCs/>
          <w:sz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 Na aplicação das sanções serão considerados: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.3.1. A natureza e a gravidade da infração cometida.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11.3.2. As peculiaridades do caso concreto.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11.3.3. As circunstâncias agravantes ou atenuantes.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11.3.4. Os danos que dela provierem para a Administração Pública.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  <w:lang w:eastAsia="en-US"/>
        </w:rPr>
        <w:t>12. DA HABILITAÇÃO</w:t>
      </w:r>
      <w:r>
        <w:rPr>
          <w:rFonts w:ascii="Verdana" w:hAnsi="Verdana"/>
          <w:sz w:val="20"/>
          <w:lang w:eastAsia="en-US"/>
        </w:rPr>
        <w:t xml:space="preserve"> 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lang w:eastAsia="ar-SA"/>
        </w:rPr>
        <w:t>a) SICAF;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lang w:eastAsia="ar-SA"/>
        </w:rPr>
        <w:t xml:space="preserve">b) Cadastro Nacional de Empresas Inidôneas e Suspensas – CEIS, mantido pela </w:t>
      </w:r>
      <w:r>
        <w:rPr>
          <w:rFonts w:cs="Verdana" w:ascii="Verdana" w:hAnsi="Verdana"/>
          <w:color w:val="000000"/>
          <w:sz w:val="20"/>
          <w:szCs w:val="20"/>
          <w:lang w:eastAsia="ar-SA"/>
        </w:rPr>
        <w:t>Controladoria-Geral da União (</w:t>
      </w:r>
      <w:hyperlink r:id="rId4">
        <w:r>
          <w:rPr>
            <w:rStyle w:val="ListLabel3"/>
            <w:rFonts w:cs="Verdana" w:ascii="Verdana" w:hAnsi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>
        <w:rPr>
          <w:rFonts w:cs="Verdana" w:ascii="Verdana" w:hAnsi="Verdana"/>
          <w:color w:val="000000"/>
          <w:sz w:val="20"/>
          <w:szCs w:val="20"/>
          <w:lang w:eastAsia="ar-SA"/>
        </w:rPr>
        <w:t>);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Style w:val="ListLabel3"/>
            <w:rFonts w:cs="Verdana" w:ascii="Verdana" w:hAnsi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color w:val="000000"/>
          <w:sz w:val="20"/>
          <w:szCs w:val="20"/>
          <w:lang w:eastAsia="ar-SA"/>
        </w:rPr>
        <w:t>).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  <w:lang w:eastAsia="ar-SA"/>
        </w:rPr>
        <w:t>e) Cadastro de empresas inid</w:t>
      </w:r>
      <w:r>
        <w:rPr>
          <w:rFonts w:cs="Verdana" w:ascii="Verdana" w:hAnsi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Style w:val="ListLabel4"/>
            <w:rFonts w:cs="Verdana" w:ascii="Verdana" w:hAnsi="Verdana"/>
            <w:color w:val="000000"/>
            <w:sz w:val="20"/>
          </w:rPr>
          <w:t>https://www.tcees.tc.br/portal-da-transparencia/consultas/lista-de</w:t>
        </w:r>
      </w:hyperlink>
      <w:r>
        <w:rPr>
          <w:rFonts w:cs="Verdana" w:ascii="Verdana" w:hAnsi="Verdana"/>
          <w:color w:val="000000"/>
          <w:sz w:val="20"/>
        </w:rPr>
        <w:t xml:space="preserve"> responsáveis/proibidos-de-contratar/).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Style w:val="ListLabel5"/>
            <w:rFonts w:cs="Verdana" w:ascii="Verdana" w:hAnsi="Verdana"/>
            <w:color w:val="000000"/>
            <w:sz w:val="20"/>
            <w:lang w:eastAsia="ar-SA"/>
          </w:rPr>
          <w:t>https://certidoesapf.apps.tcu.gov.br/</w:t>
        </w:r>
      </w:hyperlink>
      <w:r>
        <w:rPr>
          <w:rFonts w:cs="Verdana" w:ascii="Verdana" w:hAnsi="Verdana"/>
          <w:color w:val="000000"/>
          <w:sz w:val="20"/>
          <w:lang w:eastAsia="ar-SA"/>
        </w:rPr>
        <w:t>);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>12.5. Não serão aceitos documentos de habilitação com indicação de CNPJ/CPF diferentes, salvo aqueles legalmente permitidos.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0" w:after="0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0" w:after="0"/>
        <w:ind w:hanging="0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ab/>
        <w:t>12.8. Habilitação jurídica: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>
        <w:rPr>
          <w:rFonts w:cs="Verdana" w:ascii="Verdana" w:hAnsi="Verdana"/>
          <w:color w:val="000000"/>
          <w:sz w:val="20"/>
          <w:szCs w:val="20"/>
          <w:u w:val="single"/>
        </w:rPr>
        <w:t xml:space="preserve">o </w:t>
      </w:r>
      <w:hyperlink r:id="rId8">
        <w:r>
          <w:rPr>
            <w:rStyle w:val="ListLabel6"/>
            <w:rFonts w:cs="Verdana" w:ascii="Verdana" w:hAnsi="Verdana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color w:val="000000"/>
          <w:sz w:val="20"/>
          <w:szCs w:val="20"/>
          <w:u w:val="single"/>
        </w:rPr>
        <w:t>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color w:val="000000"/>
          <w:sz w:val="20"/>
          <w:szCs w:val="20"/>
        </w:rPr>
        <w:t xml:space="preserve">12.8.8. </w:t>
      </w:r>
      <w:r>
        <w:rPr>
          <w:rFonts w:cs="Verdana" w:ascii="Verdana" w:hAnsi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>
      <w:pPr>
        <w:pStyle w:val="ListParagraph"/>
        <w:spacing w:before="0" w:after="86"/>
        <w:ind w:left="0"/>
        <w:contextualSpacing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ListParagraph"/>
        <w:spacing w:before="57" w:after="57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ab/>
        <w:t>12.09.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left="-57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left="-79"/>
        <w:jc w:val="both"/>
        <w:rPr>
          <w:rFonts w:ascii="Verdana" w:hAnsi="Verdana"/>
          <w:sz w:val="20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>
        <w:rPr>
          <w:rFonts w:cs="Verdana" w:ascii="Verdana" w:hAnsi="Verdana"/>
          <w:iCs/>
          <w:color w:val="000000"/>
          <w:sz w:val="20"/>
          <w:lang w:eastAsia="en-US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13. CRITÉRIOS DE PAGAMENTO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7"/>
          <w:sz w:val="20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7"/>
          <w:sz w:val="20"/>
          <w:rFonts w:ascii="Verdana" w:hAnsi="Verdana"/>
          <w:color w:val="000000"/>
        </w:rPr>
        <w:fldChar w:fldCharType="separate"/>
      </w:r>
      <w:r>
        <w:rPr>
          <w:rStyle w:val="ListLabel7"/>
          <w:rFonts w:ascii="Verdana" w:hAnsi="Verdana"/>
          <w:color w:val="000000"/>
          <w:sz w:val="20"/>
        </w:rPr>
        <w:t>inciso II do art. 75 da Lei nº 14.133, de 2021</w:t>
      </w:r>
      <w:r>
        <w:rPr>
          <w:rStyle w:val="ListLabel7"/>
          <w:sz w:val="20"/>
          <w:rFonts w:ascii="Verdana" w:hAnsi="Verdana"/>
          <w:color w:val="000000"/>
        </w:rPr>
        <w:fldChar w:fldCharType="end"/>
      </w:r>
      <w:r>
        <w:rPr>
          <w:rFonts w:ascii="Verdana" w:hAnsi="Verdana"/>
          <w:color w:val="000000"/>
          <w:sz w:val="20"/>
        </w:rPr>
        <w:t>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0" w:leader="none"/>
          <w:tab w:val="left" w:pos="563" w:leader="none"/>
        </w:tabs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13.5. A</w:t>
      </w:r>
      <w:r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1"/>
          <w:rFonts w:ascii="Verdana" w:hAnsi="Verdana"/>
          <w:sz w:val="20"/>
          <w:lang w:eastAsia="en-US"/>
        </w:rPr>
        <w:t>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13.9. Quando do pagamento, será efetuada a retenção tributária prevista na legislação aplicável.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9">
        <w:r>
          <w:rPr>
            <w:rStyle w:val="ListLabel8"/>
            <w:rFonts w:ascii="Verdana" w:hAnsi="Verdana"/>
            <w:sz w:val="20"/>
            <w:lang w:eastAsia="en-US"/>
          </w:rPr>
          <w:t>Lei Complementar nº 123, de 2006</w:t>
        </w:r>
      </w:hyperlink>
      <w:r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ListParagraph"/>
        <w:tabs>
          <w:tab w:val="clear" w:pos="708"/>
          <w:tab w:val="left" w:pos="518" w:leader="none"/>
        </w:tabs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13.11. </w:t>
      </w:r>
      <w:r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>
      <w:pPr>
        <w:pStyle w:val="ListParagraph"/>
        <w:tabs>
          <w:tab w:val="clear" w:pos="708"/>
          <w:tab w:val="left" w:pos="518" w:leader="none"/>
        </w:tabs>
        <w:ind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ListParagraph"/>
        <w:tabs>
          <w:tab w:val="clear" w:pos="708"/>
          <w:tab w:val="left" w:pos="518" w:leader="none"/>
        </w:tabs>
        <w:ind w:left="0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76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 xml:space="preserve">Onde: </w:t>
      </w:r>
    </w:p>
    <w:p>
      <w:pPr>
        <w:pStyle w:val="Normal"/>
        <w:suppressAutoHyphens w:val="false"/>
        <w:spacing w:lineRule="auto" w:line="276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 xml:space="preserve">VF = Valor da Nota Fiscal; </w:t>
      </w:r>
    </w:p>
    <w:p>
      <w:pPr>
        <w:pStyle w:val="ListParagraph"/>
        <w:tabs>
          <w:tab w:val="clear" w:pos="708"/>
          <w:tab w:val="left" w:pos="518" w:leader="none"/>
        </w:tabs>
        <w:ind w:left="0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ListParagraph"/>
        <w:tabs>
          <w:tab w:val="clear" w:pos="708"/>
          <w:tab w:val="left" w:pos="518" w:leader="none"/>
        </w:tabs>
        <w:ind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 xml:space="preserve">13.12.. </w:t>
      </w:r>
      <w:r>
        <w:rPr>
          <w:rFonts w:cs="Arial" w:ascii="Verdana" w:hAnsi="Verdana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tabs>
          <w:tab w:val="clear" w:pos="708"/>
          <w:tab w:val="left" w:pos="563" w:leader="none"/>
        </w:tabs>
        <w:spacing w:lineRule="auto" w:line="276"/>
        <w:ind w:left="-22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13.15. </w:t>
      </w:r>
      <w:r>
        <w:rPr>
          <w:rFonts w:cs="Arial" w:ascii="Verdana" w:hAnsi="Verdana"/>
          <w:sz w:val="20"/>
          <w:szCs w:val="20"/>
          <w:lang w:eastAsia="en-US"/>
        </w:rPr>
        <w:t xml:space="preserve">Para a efetivação do pagamento, a CONTRATADA deverá manter as mesmas </w:t>
      </w:r>
      <w:r>
        <w:rPr>
          <w:rFonts w:cs="Arial" w:ascii="Verdana" w:hAnsi="Verdana"/>
          <w:sz w:val="20"/>
          <w:szCs w:val="20"/>
          <w:lang w:eastAsia="pt-BR"/>
        </w:rPr>
        <w:t>condições relativas à proposta de preço e a habilitação.</w:t>
      </w:r>
    </w:p>
    <w:p>
      <w:pPr>
        <w:pStyle w:val="Normal"/>
        <w:suppressAutoHyphens w:val="false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uppressAutoHyphens w:val="false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sz w:val="20"/>
        </w:rPr>
        <w:t>14. CONTRATAÇÕES CORRELATAS E/OU INTERDEPENDENTES</w:t>
      </w:r>
    </w:p>
    <w:p>
      <w:pPr>
        <w:pStyle w:val="Normal"/>
        <w:suppressAutoHyphens w:val="false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14.1 Não haverá contratações correlatas e/ou interdependentes.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 w:cs="Arial"/>
          <w:sz w:val="20"/>
        </w:rPr>
      </w:pPr>
      <w:r>
        <w:rPr>
          <w:rFonts w:cs="Arial" w:ascii="Verdana" w:hAnsi="Verdana"/>
          <w:sz w:val="20"/>
        </w:rPr>
      </w:r>
    </w:p>
    <w:p>
      <w:pPr>
        <w:pStyle w:val="Normal"/>
        <w:suppressAutoHyphens w:val="false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sz w:val="20"/>
        </w:rPr>
        <w:t>15. RESULTADOS PRETENDIDOS COM A CONTRATAÇÃO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15.1 Os resultados pretendidos com a aquisição dos equipamentos para dar condições de trabalho e andamento dos serviços administrativos da secretaria.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uppressAutoHyphens w:val="false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sz w:val="20"/>
        </w:rPr>
        <w:t>16. POSSÍVEIS IMPACTOS AMBIENTAIS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16.1 A referida contratação não gerará danos ambientais.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 w:cs="Arial"/>
          <w:sz w:val="20"/>
        </w:rPr>
      </w:pPr>
      <w:r>
        <w:rPr>
          <w:rFonts w:cs="Arial" w:ascii="Verdana" w:hAnsi="Verdana"/>
          <w:sz w:val="20"/>
        </w:rPr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sz w:val="20"/>
        </w:rPr>
        <w:t>17. DECLARAÇÕES DE VIABILIDADE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17.1 A presente contratação, demonstra sua viabilidade, mediante os argumentos elencados no Estudo Técnico Preliminar.</w:t>
      </w:r>
    </w:p>
    <w:p>
      <w:pPr>
        <w:pStyle w:val="Normal"/>
        <w:spacing w:lineRule="auto" w:line="276" w:before="0" w:after="0"/>
        <w:contextualSpacing/>
        <w:jc w:val="both"/>
        <w:rPr>
          <w:rFonts w:ascii="Verdana" w:hAnsi="Verdana" w:cs="Arial"/>
          <w:sz w:val="20"/>
        </w:rPr>
      </w:pPr>
      <w:r>
        <w:rPr>
          <w:rFonts w:cs="Arial"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 xml:space="preserve">18. ADEQUAÇÃO ORÇAMENTÁRIA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FICHA - FONTE 00156-150000000000 o valor de R$ 814,60 (oitocentos e quatorze reais e sessenta centavos)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19.</w:t>
      </w:r>
      <w:r>
        <w:rPr>
          <w:rFonts w:ascii="Verdana" w:hAnsi="Verdana"/>
          <w:sz w:val="20"/>
        </w:rPr>
        <w:t xml:space="preserve"> </w:t>
      </w:r>
      <w:r>
        <w:rPr>
          <w:rFonts w:cs="Arial" w:ascii="Verdana" w:hAnsi="Verdana"/>
          <w:b/>
          <w:bCs/>
          <w:color w:val="000000"/>
          <w:sz w:val="20"/>
        </w:rPr>
        <w:t>DOS RESPONSÁVEIS PELA ELABORAÇÃO DO TERMO DE REFERÊNCIA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São Gabriel da Palha, 23</w:t>
      </w:r>
      <w:r>
        <w:rPr>
          <w:rFonts w:ascii="Verdana" w:hAnsi="Verdana"/>
          <w:color w:val="000000"/>
          <w:sz w:val="20"/>
        </w:rPr>
        <w:t xml:space="preserve"> de outubro de 2024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sz w:val="20"/>
        </w:rPr>
        <w:t>Elaborado por: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sectPr>
          <w:headerReference w:type="even" r:id="rId10"/>
          <w:headerReference w:type="default" r:id="rId11"/>
          <w:headerReference w:type="first" r:id="rId12"/>
          <w:footerReference w:type="even" r:id="rId13"/>
          <w:footerReference w:type="default" r:id="rId14"/>
          <w:footerReference w:type="first" r:id="rId15"/>
          <w:type w:val="nextPage"/>
          <w:pgSz w:w="11906" w:h="16838"/>
          <w:pgMar w:left="1550" w:right="905" w:gutter="0" w:header="227" w:top="851" w:footer="567" w:bottom="851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sectPr>
          <w:type w:val="continuous"/>
          <w:pgSz w:w="11906" w:h="16838"/>
          <w:pgMar w:left="1550" w:right="905" w:gutter="0" w:header="227" w:top="851" w:footer="567" w:bottom="851"/>
          <w:formProt w:val="false"/>
          <w:textDirection w:val="lrTb"/>
          <w:docGrid w:type="default" w:linePitch="326" w:charSpace="0"/>
        </w:sectPr>
      </w:pPr>
    </w:p>
    <w:tbl>
      <w:tblPr>
        <w:tblStyle w:val="Tabelacomgrade"/>
        <w:tblW w:w="959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95"/>
        <w:gridCol w:w="4795"/>
      </w:tblGrid>
      <w:tr>
        <w:trPr/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  <w:t>RODOLFO ANTÔNIO DA SILVA NETO</w:t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  <w:t>Auxiliar Administrativo</w:t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hyperlink r:id="rId16">
              <w:r>
                <w:rPr>
                  <w:rStyle w:val="ListLabel9"/>
                  <w:rFonts w:cs="Arial" w:ascii="Verdana" w:hAnsi="Verdana"/>
                  <w:kern w:val="0"/>
                  <w:sz w:val="20"/>
                  <w:lang w:val="pt-BR" w:bidi="ar-SA"/>
                </w:rPr>
                <w:t>Mat nº 000406</w:t>
              </w:r>
            </w:hyperlink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fals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</w:tc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kern w:val="0"/>
                <w:sz w:val="20"/>
                <w:lang w:val="pt-BR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kern w:val="0"/>
                <w:sz w:val="20"/>
                <w:lang w:val="pt-BR" w:bidi="ar-SA"/>
              </w:rPr>
              <w:t>RUTH BARBARA DA SILWA NASCIMENTO</w:t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r>
              <w:rPr>
                <w:rFonts w:cs="Arial" w:ascii="Verdana" w:hAnsi="Verdana"/>
                <w:kern w:val="0"/>
                <w:sz w:val="20"/>
                <w:lang w:val="pt-BR" w:bidi="ar-SA"/>
              </w:rPr>
              <w:t>Assistente Administrativo</w:t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sz w:val="20"/>
              </w:rPr>
            </w:pPr>
            <w:hyperlink r:id="rId17">
              <w:r>
                <w:rPr>
                  <w:rStyle w:val="ListLabel1"/>
                  <w:rFonts w:cs="Arial" w:ascii="Verdana" w:hAnsi="Verdana"/>
                  <w:color w:val="000000"/>
                  <w:kern w:val="0"/>
                  <w:sz w:val="20"/>
                  <w:lang w:val="pt-BR" w:bidi="ar-SA"/>
                </w:rPr>
                <w:t>Mat. nº 002983</w:t>
              </w:r>
            </w:hyperlink>
          </w:p>
        </w:tc>
      </w:tr>
    </w:tbl>
    <w:p>
      <w:pPr>
        <w:pStyle w:val="Normal"/>
        <w:spacing w:lineRule="auto" w:line="276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sectPr>
      <w:type w:val="continuous"/>
      <w:pgSz w:w="11906" w:h="16838"/>
      <w:pgMar w:left="1550" w:right="905" w:gutter="0" w:header="227" w:top="851" w:footer="567" w:bottom="851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pt-BR" w:val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Hyperlink1" w:customStyle="1">
    <w:name w:val="Hyperlink1"/>
    <w:qFormat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link w:val="Quote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t-BR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0" w:customStyle="1">
    <w:name w:val="WW8Num2z0"/>
    <w:qFormat/>
    <w:rPr>
      <w:rFonts w:ascii="Arial" w:hAnsi="Arial" w:eastAsia="Batang" w:cs="Arial"/>
      <w:b/>
      <w:i w:val="false"/>
      <w:sz w:val="24"/>
      <w:szCs w:val="24"/>
      <w:u w:val="none"/>
    </w:rPr>
  </w:style>
  <w:style w:type="character" w:styleId="InternetLink">
    <w:name w:val="Internet Link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eastAsia="pt-BR" w:val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t-BR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before="120" w:after="120"/>
      <w:ind w:left="425"/>
      <w:contextualSpacing/>
      <w:jc w:val="both"/>
    </w:pPr>
    <w:rPr>
      <w:rFonts w:ascii="Arial" w:hAnsi="Arial" w:cs="Arial"/>
      <w:sz w:val="20"/>
    </w:rPr>
  </w:style>
  <w:style w:type="paragraph" w:styleId="TableParagraph" w:customStyle="1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eastAsia="zh-CN" w:bidi="hi-IN" w:val="pt-BR"/>
    </w:rPr>
  </w:style>
  <w:style w:type="paragraph" w:styleId="Nivel01" w:customStyle="1">
    <w:name w:val="Nivel 01"/>
    <w:basedOn w:val="Heading1"/>
    <w:qFormat/>
    <w:pPr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MS Gothic" w:cs="Times New Roman"/>
      <w:sz w:val="20"/>
      <w:szCs w:val="20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ontedodatabela" w:customStyle="1">
    <w:name w:val="Conteúdo da tabela"/>
    <w:basedOn w:val="Normal"/>
    <w:qFormat/>
    <w:pPr/>
    <w:rPr/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sefaz.es.gov.br/" TargetMode="External"/><Relationship Id="rId3" Type="http://schemas.openxmlformats.org/officeDocument/2006/relationships/hyperlink" Target="http://www.tst.jus.br/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yperlink" Target="https://www.planalto.gov.br/ccivil_03/leis/lcp/lcp123.htm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oter" Target="footer3.xml"/><Relationship Id="rId16" Type="http://schemas.openxmlformats.org/officeDocument/2006/relationships/hyperlink" Target="https://www.planalto.gov.br/ccivil_03/leis/lcp/lcp123.htm" TargetMode="External"/><Relationship Id="rId17" Type="http://schemas.openxmlformats.org/officeDocument/2006/relationships/hyperlink" Target="https://www.planalto.gov.br/ccivil_03/leis/lcp/lcp123.htm" TargetMode="Externa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Application>LibreOffice/24.2.6.2$Windows_X86_64 LibreOffice_project/ef66aa7e36a1bb8e65bfbc63aba53045a14d0871</Application>
  <AppVersion>15.0000</AppVersion>
  <Pages>10</Pages>
  <Words>4031</Words>
  <Characters>23675</Characters>
  <CharactersWithSpaces>27620</CharactersWithSpaces>
  <Paragraphs>215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2024-09-05T17:31:00Z</dcterms:created>
  <dc:creator>Ruth Barbara da Silwa Nascimento</dc:creator>
  <dc:description/>
  <dc:language>pt-BR</dc:language>
  <cp:lastModifiedBy/>
  <cp:lastPrinted>2024-11-13T15:43:25Z</cp:lastPrinted>
  <dcterms:modified xsi:type="dcterms:W3CDTF">2024-11-13T15:45:17Z</dcterms:modified>
  <cp:revision>203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